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7844E3" w:rsidRDefault="00345A86">
      <w:r>
        <w:t xml:space="preserve">Judge Orders Full Environmental Impact Analysis of Dakota Access Pipeline </w:t>
      </w:r>
    </w:p>
    <w:p w14:paraId="00000002" w14:textId="77777777" w:rsidR="007844E3" w:rsidRDefault="007844E3"/>
    <w:p w14:paraId="00000003" w14:textId="77777777" w:rsidR="007844E3" w:rsidRDefault="00345A86">
      <w:r>
        <w:t>March 25, 2020</w:t>
      </w:r>
    </w:p>
    <w:p w14:paraId="00000004" w14:textId="77777777" w:rsidR="007844E3" w:rsidRDefault="007844E3"/>
    <w:p w14:paraId="00000005" w14:textId="770537D0" w:rsidR="007844E3" w:rsidRDefault="00345A86">
      <w:r>
        <w:t xml:space="preserve">After four years of litigation over the Dakota Access Pipeline, a federal court has </w:t>
      </w:r>
      <w:hyperlink r:id="rId4">
        <w:r>
          <w:rPr>
            <w:color w:val="1155CC"/>
            <w:u w:val="single"/>
          </w:rPr>
          <w:t>ordered the U.S. Army Corps of Engineers</w:t>
        </w:r>
      </w:hyperlink>
      <w:r>
        <w:t xml:space="preserve"> to conduct a full environmental impact statement (EIS) on the pipeline, citing that the agency’s existing permits did not “adequately” comply with the National Environmental Policy Act (NEPA).  </w:t>
      </w:r>
    </w:p>
    <w:p w14:paraId="00000006" w14:textId="77777777" w:rsidR="007844E3" w:rsidRDefault="007844E3"/>
    <w:p w14:paraId="00000007" w14:textId="1B89720C" w:rsidR="007844E3" w:rsidRDefault="00345A86">
      <w:r>
        <w:t xml:space="preserve">The court’s decision is a victory for the Standing Rock </w:t>
      </w:r>
      <w:r w:rsidR="00DF5169">
        <w:t xml:space="preserve">Sioux </w:t>
      </w:r>
      <w:r w:rsidR="0075192F">
        <w:t xml:space="preserve">Tribe </w:t>
      </w:r>
      <w:r>
        <w:t xml:space="preserve">who </w:t>
      </w:r>
      <w:hyperlink r:id="rId5" w:history="1">
        <w:r w:rsidR="00A86E32">
          <w:rPr>
            <w:rStyle w:val="Hyperlink"/>
          </w:rPr>
          <w:t>filed the first lawsuit to stop</w:t>
        </w:r>
        <w:r w:rsidR="00333F31" w:rsidRPr="00333F31">
          <w:rPr>
            <w:rStyle w:val="Hyperlink"/>
          </w:rPr>
          <w:t xml:space="preserve"> the pipeline in 2016</w:t>
        </w:r>
      </w:hyperlink>
      <w:r>
        <w:t xml:space="preserve">. </w:t>
      </w:r>
      <w:r w:rsidR="0045213A">
        <w:t>Between 2016-2020</w:t>
      </w:r>
      <w:r w:rsidR="00A86E32">
        <w:t xml:space="preserve">, </w:t>
      </w:r>
      <w:r>
        <w:t>U.S. District Court Judge James E. Boasberg ruled on multiple cases between the Tribes</w:t>
      </w:r>
      <w:r w:rsidR="00CF0132">
        <w:t xml:space="preserve"> living</w:t>
      </w:r>
      <w:r>
        <w:t xml:space="preserve"> </w:t>
      </w:r>
      <w:r w:rsidR="0075192F">
        <w:t xml:space="preserve">near the pipeline </w:t>
      </w:r>
      <w:r>
        <w:t>and the Corps</w:t>
      </w:r>
      <w:r w:rsidR="00CF0132">
        <w:t xml:space="preserve">. However, Judge Boasberg </w:t>
      </w:r>
      <w:r w:rsidR="008133B3">
        <w:t xml:space="preserve">wrote in the memorandum on Wednesday </w:t>
      </w:r>
      <w:r>
        <w:t>that</w:t>
      </w:r>
      <w:r w:rsidR="001A61D5">
        <w:t xml:space="preserve"> </w:t>
      </w:r>
      <w:r>
        <w:t xml:space="preserve">“too many questions remain unanswered” regarding the pipeline’s potential environmental impact. </w:t>
      </w:r>
    </w:p>
    <w:p w14:paraId="00000008" w14:textId="77777777" w:rsidR="007844E3" w:rsidRDefault="007844E3"/>
    <w:p w14:paraId="00000009" w14:textId="57E068FA" w:rsidR="007844E3" w:rsidRDefault="00345A86">
      <w:r>
        <w:t>“Unrebutted expert critiques regarding leak-detection systems, operator safety records, adverse conditions, and worst-case discharge mean that the easement approval remains ‘highly controversial’ under NEPA,” Judge Boasberg stated</w:t>
      </w:r>
      <w:r w:rsidR="00CF0132">
        <w:t xml:space="preserve">. </w:t>
      </w:r>
    </w:p>
    <w:p w14:paraId="0000000A" w14:textId="77777777" w:rsidR="007844E3" w:rsidRDefault="007844E3"/>
    <w:p w14:paraId="0000000B" w14:textId="02E900B1" w:rsidR="007844E3" w:rsidRDefault="002639E7">
      <w:r>
        <w:t>For</w:t>
      </w:r>
      <w:r w:rsidR="00345A86">
        <w:t xml:space="preserve"> the first time</w:t>
      </w:r>
      <w:r>
        <w:t>,</w:t>
      </w:r>
      <w:r w:rsidR="00345A86">
        <w:t xml:space="preserve"> the Corps has been ordered to conduct a sweeping environmental </w:t>
      </w:r>
      <w:r w:rsidR="00C73BFB">
        <w:t>assessment</w:t>
      </w:r>
      <w:r w:rsidR="00345A86">
        <w:t xml:space="preserve"> on the pipeline</w:t>
      </w:r>
      <w:r w:rsidR="00C73BFB">
        <w:t>. In 2017,</w:t>
      </w:r>
      <w:r w:rsidR="00345A86">
        <w:t xml:space="preserve"> Judge Boasberg </w:t>
      </w:r>
      <w:hyperlink r:id="rId6">
        <w:r w:rsidR="00345A86">
          <w:rPr>
            <w:color w:val="0563C1"/>
            <w:u w:val="single"/>
          </w:rPr>
          <w:t>ruled a smaller-scale environmental review to the Dakota Access Pipeline</w:t>
        </w:r>
      </w:hyperlink>
      <w:r w:rsidR="00345A86">
        <w:t xml:space="preserve">. At that time, the federal court agreed with the Standing Rock Sioux and Cheyenne River Tribes that the Corps did not sufficiently address environmental concerns before issuing permits to construct the pipeline and remanded the Corps to correct several errors in their original assessment. </w:t>
      </w:r>
    </w:p>
    <w:p w14:paraId="0000000C" w14:textId="77777777" w:rsidR="007844E3" w:rsidRDefault="007844E3"/>
    <w:p w14:paraId="0000000D" w14:textId="150D6812" w:rsidR="007844E3" w:rsidRDefault="00345A86">
      <w:r>
        <w:t>According to the</w:t>
      </w:r>
      <w:r w:rsidR="00531CE2">
        <w:t xml:space="preserve"> </w:t>
      </w:r>
      <w:r>
        <w:t xml:space="preserve">2017 memorandum, </w:t>
      </w:r>
      <w:r w:rsidR="00C73BFB">
        <w:t xml:space="preserve">the Corps </w:t>
      </w:r>
      <w:r w:rsidR="00D526C4">
        <w:t>failed to address</w:t>
      </w:r>
      <w:r w:rsidR="00C73BFB">
        <w:t xml:space="preserve"> the “</w:t>
      </w:r>
      <w:r>
        <w:t xml:space="preserve">impacts of an oil spill on fishing rights, hunting rights, or environmental justice, or the degree to which the pipeline’s effects are likely to be highly controversial.” </w:t>
      </w:r>
    </w:p>
    <w:p w14:paraId="0000000E" w14:textId="77777777" w:rsidR="007844E3" w:rsidRDefault="007844E3"/>
    <w:p w14:paraId="0000000F" w14:textId="1DB37644" w:rsidR="007844E3" w:rsidRDefault="00A63EA6">
      <w:r>
        <w:t>However, the court denied</w:t>
      </w:r>
      <w:r w:rsidR="00474C0A">
        <w:t xml:space="preserve"> the </w:t>
      </w:r>
      <w:r w:rsidR="00270472">
        <w:t>Tribes</w:t>
      </w:r>
      <w:r w:rsidR="00D62370">
        <w:t>’</w:t>
      </w:r>
      <w:r w:rsidR="00270472">
        <w:t xml:space="preserve"> </w:t>
      </w:r>
      <w:r w:rsidR="00D8332F">
        <w:t>request</w:t>
      </w:r>
      <w:r>
        <w:t xml:space="preserve"> to </w:t>
      </w:r>
      <w:r w:rsidR="00D8332F">
        <w:t>vacate</w:t>
      </w:r>
      <w:r w:rsidR="00270472">
        <w:t xml:space="preserve"> </w:t>
      </w:r>
      <w:r w:rsidR="009F19D2">
        <w:t xml:space="preserve">the </w:t>
      </w:r>
      <w:r w:rsidR="00921AA4">
        <w:t>permits for the pipeline</w:t>
      </w:r>
      <w:r>
        <w:t xml:space="preserve"> and the Corps’ overall assessment</w:t>
      </w:r>
      <w:r w:rsidR="009F19D2">
        <w:t xml:space="preserve">. </w:t>
      </w:r>
      <w:r w:rsidR="00345A86">
        <w:t>Judge Boasberg determined that the three identified errors in the Corps</w:t>
      </w:r>
      <w:r w:rsidR="007F32C2">
        <w:t>’</w:t>
      </w:r>
      <w:r w:rsidR="00345A86">
        <w:t xml:space="preserve"> original analysis were “not fundamental or incurable flaws</w:t>
      </w:r>
      <w:r w:rsidR="0084759F">
        <w:t>,</w:t>
      </w:r>
      <w:r w:rsidR="0045213A">
        <w:t>”</w:t>
      </w:r>
      <w:r w:rsidR="0084759F">
        <w:t xml:space="preserve"> so the court </w:t>
      </w:r>
      <w:hyperlink r:id="rId7">
        <w:r w:rsidR="0084759F">
          <w:rPr>
            <w:color w:val="0563C1"/>
            <w:u w:val="single"/>
          </w:rPr>
          <w:t>refused to halt the pipeline operations in 2017</w:t>
        </w:r>
      </w:hyperlink>
      <w:r w:rsidR="0084759F">
        <w:rPr>
          <w:color w:val="0563C1"/>
          <w:u w:val="single"/>
        </w:rPr>
        <w:t>.</w:t>
      </w:r>
    </w:p>
    <w:p w14:paraId="00000010" w14:textId="77777777" w:rsidR="007844E3" w:rsidRDefault="007844E3"/>
    <w:p w14:paraId="00000011" w14:textId="5F19CABD" w:rsidR="007844E3" w:rsidRDefault="00345A86">
      <w:r>
        <w:t xml:space="preserve">The court concluded that “After the </w:t>
      </w:r>
      <w:r w:rsidR="00BE5150">
        <w:t>[Corps</w:t>
      </w:r>
      <w:r w:rsidR="00D82339">
        <w:t>’</w:t>
      </w:r>
      <w:r w:rsidR="00BE5150">
        <w:t>]</w:t>
      </w:r>
      <w:r>
        <w:t xml:space="preserve"> further work on remand, the parties may well disagree over the sufficiency of its conclusion. If and when such a dispute arises, they will again have the opportunity to address whether Defendants have in fact fulfilled their statutory obligations.”</w:t>
      </w:r>
      <w:r>
        <w:br/>
      </w:r>
    </w:p>
    <w:p w14:paraId="00000012" w14:textId="762A2390" w:rsidR="007844E3" w:rsidRDefault="0023297D">
      <w:r>
        <w:t>After three years, the court found</w:t>
      </w:r>
      <w:r w:rsidR="008133B3">
        <w:t xml:space="preserve"> on Wednesday</w:t>
      </w:r>
      <w:r>
        <w:t xml:space="preserve"> that the</w:t>
      </w:r>
      <w:r w:rsidR="00345A86">
        <w:t xml:space="preserve"> Corps did not fully address the environmental concerns outlined in 2017…</w:t>
      </w:r>
    </w:p>
    <w:p w14:paraId="00000013" w14:textId="77777777" w:rsidR="007844E3" w:rsidRDefault="007844E3"/>
    <w:p w14:paraId="00000014" w14:textId="77777777" w:rsidR="007844E3" w:rsidRDefault="00345A86">
      <w:pPr>
        <w:jc w:val="center"/>
      </w:pPr>
      <w:r>
        <w:t xml:space="preserve">END OF SAMPLE </w:t>
      </w:r>
    </w:p>
    <w:p w14:paraId="00000015" w14:textId="77777777" w:rsidR="007844E3" w:rsidRDefault="00345A86">
      <w:r>
        <w:t xml:space="preserve"> </w:t>
      </w:r>
    </w:p>
    <w:p w14:paraId="00000031" w14:textId="77777777" w:rsidR="007844E3" w:rsidRDefault="007844E3">
      <w:pPr>
        <w:pBdr>
          <w:top w:val="nil"/>
          <w:left w:val="nil"/>
          <w:bottom w:val="nil"/>
          <w:right w:val="nil"/>
          <w:between w:val="nil"/>
        </w:pBdr>
        <w:ind w:left="720"/>
        <w:rPr>
          <w:color w:val="000000"/>
        </w:rPr>
      </w:pPr>
    </w:p>
    <w:sectPr w:rsidR="007844E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4E3"/>
    <w:rsid w:val="000A0CAB"/>
    <w:rsid w:val="00184A8C"/>
    <w:rsid w:val="001A61D5"/>
    <w:rsid w:val="001B09A7"/>
    <w:rsid w:val="0023297D"/>
    <w:rsid w:val="002639E7"/>
    <w:rsid w:val="00270472"/>
    <w:rsid w:val="00333F31"/>
    <w:rsid w:val="00345A86"/>
    <w:rsid w:val="003D55BE"/>
    <w:rsid w:val="00404B45"/>
    <w:rsid w:val="00411B7B"/>
    <w:rsid w:val="0045181F"/>
    <w:rsid w:val="0045213A"/>
    <w:rsid w:val="00460C4D"/>
    <w:rsid w:val="00474C0A"/>
    <w:rsid w:val="00521557"/>
    <w:rsid w:val="00531CE2"/>
    <w:rsid w:val="005F2D45"/>
    <w:rsid w:val="006004C3"/>
    <w:rsid w:val="00646A97"/>
    <w:rsid w:val="0075192F"/>
    <w:rsid w:val="007844E3"/>
    <w:rsid w:val="007F32C2"/>
    <w:rsid w:val="008133B3"/>
    <w:rsid w:val="0084759F"/>
    <w:rsid w:val="00921AA4"/>
    <w:rsid w:val="009F19D2"/>
    <w:rsid w:val="00A63EA6"/>
    <w:rsid w:val="00A86E32"/>
    <w:rsid w:val="00B8476A"/>
    <w:rsid w:val="00BE5150"/>
    <w:rsid w:val="00C73BFB"/>
    <w:rsid w:val="00CF0132"/>
    <w:rsid w:val="00D00417"/>
    <w:rsid w:val="00D31C93"/>
    <w:rsid w:val="00D526C4"/>
    <w:rsid w:val="00D62370"/>
    <w:rsid w:val="00D82339"/>
    <w:rsid w:val="00D8332F"/>
    <w:rsid w:val="00DC074F"/>
    <w:rsid w:val="00DF5169"/>
    <w:rsid w:val="00E17F07"/>
    <w:rsid w:val="00EF5A0F"/>
    <w:rsid w:val="00F33D38"/>
    <w:rsid w:val="00F71C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1C485C"/>
  <w15:docId w15:val="{E0F8BDA3-3AA7-FD45-9650-0B06D1823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23297D"/>
    <w:rPr>
      <w:color w:val="0000FF"/>
      <w:u w:val="single"/>
    </w:rPr>
  </w:style>
  <w:style w:type="paragraph" w:styleId="BalloonText">
    <w:name w:val="Balloon Text"/>
    <w:basedOn w:val="Normal"/>
    <w:link w:val="BalloonTextChar"/>
    <w:uiPriority w:val="99"/>
    <w:semiHidden/>
    <w:unhideWhenUsed/>
    <w:rsid w:val="00BE5150"/>
    <w:rPr>
      <w:sz w:val="18"/>
      <w:szCs w:val="18"/>
    </w:rPr>
  </w:style>
  <w:style w:type="character" w:customStyle="1" w:styleId="BalloonTextChar">
    <w:name w:val="Balloon Text Char"/>
    <w:basedOn w:val="DefaultParagraphFont"/>
    <w:link w:val="BalloonText"/>
    <w:uiPriority w:val="99"/>
    <w:semiHidden/>
    <w:rsid w:val="00BE5150"/>
    <w:rPr>
      <w:sz w:val="18"/>
      <w:szCs w:val="18"/>
    </w:rPr>
  </w:style>
  <w:style w:type="character" w:styleId="UnresolvedMention">
    <w:name w:val="Unresolved Mention"/>
    <w:basedOn w:val="DefaultParagraphFont"/>
    <w:uiPriority w:val="99"/>
    <w:semiHidden/>
    <w:unhideWhenUsed/>
    <w:rsid w:val="00333F31"/>
    <w:rPr>
      <w:color w:val="605E5C"/>
      <w:shd w:val="clear" w:color="auto" w:fill="E1DFDD"/>
    </w:rPr>
  </w:style>
  <w:style w:type="character" w:styleId="FollowedHyperlink">
    <w:name w:val="FollowedHyperlink"/>
    <w:basedOn w:val="DefaultParagraphFont"/>
    <w:uiPriority w:val="99"/>
    <w:semiHidden/>
    <w:unhideWhenUsed/>
    <w:rsid w:val="00A86E32"/>
    <w:rPr>
      <w:color w:val="800080" w:themeColor="followedHyperlink"/>
      <w:u w:val="single"/>
    </w:rPr>
  </w:style>
  <w:style w:type="character" w:styleId="CommentReference">
    <w:name w:val="annotation reference"/>
    <w:basedOn w:val="DefaultParagraphFont"/>
    <w:uiPriority w:val="99"/>
    <w:semiHidden/>
    <w:unhideWhenUsed/>
    <w:rsid w:val="002639E7"/>
    <w:rPr>
      <w:sz w:val="16"/>
      <w:szCs w:val="16"/>
    </w:rPr>
  </w:style>
  <w:style w:type="paragraph" w:styleId="CommentText">
    <w:name w:val="annotation text"/>
    <w:basedOn w:val="Normal"/>
    <w:link w:val="CommentTextChar"/>
    <w:uiPriority w:val="99"/>
    <w:semiHidden/>
    <w:unhideWhenUsed/>
    <w:rsid w:val="002639E7"/>
    <w:rPr>
      <w:sz w:val="20"/>
      <w:szCs w:val="20"/>
    </w:rPr>
  </w:style>
  <w:style w:type="character" w:customStyle="1" w:styleId="CommentTextChar">
    <w:name w:val="Comment Text Char"/>
    <w:basedOn w:val="DefaultParagraphFont"/>
    <w:link w:val="CommentText"/>
    <w:uiPriority w:val="99"/>
    <w:semiHidden/>
    <w:rsid w:val="002639E7"/>
    <w:rPr>
      <w:sz w:val="20"/>
      <w:szCs w:val="20"/>
    </w:rPr>
  </w:style>
  <w:style w:type="paragraph" w:styleId="CommentSubject">
    <w:name w:val="annotation subject"/>
    <w:basedOn w:val="CommentText"/>
    <w:next w:val="CommentText"/>
    <w:link w:val="CommentSubjectChar"/>
    <w:uiPriority w:val="99"/>
    <w:semiHidden/>
    <w:unhideWhenUsed/>
    <w:rsid w:val="002639E7"/>
    <w:rPr>
      <w:b/>
      <w:bCs/>
    </w:rPr>
  </w:style>
  <w:style w:type="character" w:customStyle="1" w:styleId="CommentSubjectChar">
    <w:name w:val="Comment Subject Char"/>
    <w:basedOn w:val="CommentTextChar"/>
    <w:link w:val="CommentSubject"/>
    <w:uiPriority w:val="99"/>
    <w:semiHidden/>
    <w:rsid w:val="002639E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891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vinfo.gov/content/pkg/USCOURTS-dcd-1_16-cv-01534/pdf/USCOURTS-dcd-1_16-cv-01534-4.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vinfo.gov/content/pkg/USCOURTS-dcd-1_16-cv-01534/pdf/USCOURTS-dcd-1_16-cv-01534-3.pdf" TargetMode="External"/><Relationship Id="rId5" Type="http://schemas.openxmlformats.org/officeDocument/2006/relationships/hyperlink" Target="https://earthjustice.org/sites/default/files/files/3154%201%20Complaint.pdf" TargetMode="External"/><Relationship Id="rId4" Type="http://schemas.openxmlformats.org/officeDocument/2006/relationships/hyperlink" Target="https://narf.org/nill/bulletins/federal/documents/standingrock_v_usengineers.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450</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Teller, Kyle Marie</cp:lastModifiedBy>
  <cp:revision>2</cp:revision>
  <cp:lastPrinted>2020-06-03T00:58:00Z</cp:lastPrinted>
  <dcterms:created xsi:type="dcterms:W3CDTF">2020-06-13T21:21:00Z</dcterms:created>
  <dcterms:modified xsi:type="dcterms:W3CDTF">2020-06-13T21:21:00Z</dcterms:modified>
</cp:coreProperties>
</file>